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CF" w:rsidRPr="00FF7E80" w:rsidRDefault="005313CF" w:rsidP="005313C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FF7E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كلمة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السيدة رانيا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مشلب</w:t>
      </w:r>
      <w:proofErr w:type="spellEnd"/>
    </w:p>
    <w:p w:rsidR="005313CF" w:rsidRDefault="005313CF" w:rsidP="005313CF">
      <w:pPr>
        <w:bidi/>
        <w:spacing w:line="276" w:lineRule="auto"/>
        <w:jc w:val="center"/>
        <w:rPr>
          <w:rFonts w:ascii="Traditional Arabic" w:hAnsi="Traditional Arabic" w:cs="Traditional Arabic"/>
          <w:sz w:val="28"/>
          <w:szCs w:val="28"/>
          <w:rtl/>
          <w:lang w:val="en-GB"/>
        </w:rPr>
      </w:pPr>
      <w:r w:rsidRPr="00FF7E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رئيسة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بعثة </w:t>
      </w:r>
      <w:r w:rsidRPr="00FF7E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اللجنة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الدولية للصليب </w:t>
      </w:r>
      <w:r w:rsidR="00DE6EF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الأحمر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في الرباط</w:t>
      </w:r>
    </w:p>
    <w:p w:rsidR="00453F67" w:rsidRPr="00493376" w:rsidRDefault="00493376" w:rsidP="005313CF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  <w:lang w:val="en-GB"/>
        </w:rPr>
      </w:pP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اود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في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البداية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اتقدم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بجزيل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الشكر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والتقدير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لكل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من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جامعة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الدول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العربية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واللجنة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الوطنية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للقانون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الدولي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الإنساني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بالمملكة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المغربية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على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التعاون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المستمر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بيننا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وكذلك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على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كل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الدعم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الذي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قدموه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من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أجل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إنجاح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هذه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الحلقة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النقاشية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التي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تضم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مجموعة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من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أهم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خبراء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القانون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الدولي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الإنساني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في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منطقتنا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العربية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>.</w:t>
      </w:r>
    </w:p>
    <w:p w:rsidR="00D233C8" w:rsidRDefault="00493376" w:rsidP="00BB3571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السيدات</w:t>
      </w:r>
      <w:proofErr w:type="spellEnd"/>
      <w:r w:rsidRPr="00493376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proofErr w:type="spellStart"/>
      <w:proofErr w:type="gramStart"/>
      <w:r w:rsidRPr="00493376">
        <w:rPr>
          <w:rFonts w:ascii="Traditional Arabic" w:hAnsi="Traditional Arabic" w:cs="Traditional Arabic" w:hint="cs"/>
          <w:sz w:val="28"/>
          <w:szCs w:val="28"/>
          <w:lang w:val="en-GB"/>
        </w:rPr>
        <w:t>والسادة</w:t>
      </w:r>
      <w:proofErr w:type="spellEnd"/>
      <w:r w:rsidR="00046F6A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</w:t>
      </w:r>
      <w:r w:rsidR="007E28E2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>ما</w:t>
      </w:r>
      <w:proofErr w:type="gramEnd"/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 زالت </w:t>
      </w:r>
      <w:r w:rsidR="00D233C8">
        <w:rPr>
          <w:rFonts w:ascii="Traditional Arabic" w:hAnsi="Traditional Arabic" w:cs="Traditional Arabic"/>
          <w:sz w:val="28"/>
          <w:szCs w:val="28"/>
          <w:rtl/>
        </w:rPr>
        <w:t>اتفاقيات جنيف لعام 1949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تشكل حجر الأساس للقانون الدولي الإنساني </w:t>
      </w:r>
      <w:r w:rsidR="00D233C8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بعد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 أكثر من 70 عامًا منذ</w:t>
      </w:r>
      <w:r w:rsidR="00D233C8">
        <w:rPr>
          <w:rFonts w:ascii="Traditional Arabic" w:hAnsi="Traditional Arabic" w:cs="Traditional Arabic"/>
          <w:sz w:val="28"/>
          <w:szCs w:val="28"/>
          <w:rtl/>
        </w:rPr>
        <w:t xml:space="preserve"> اعتماد</w:t>
      </w:r>
      <w:r w:rsidR="00D233C8">
        <w:rPr>
          <w:rFonts w:ascii="Traditional Arabic" w:hAnsi="Traditional Arabic" w:cs="Traditional Arabic" w:hint="cs"/>
          <w:sz w:val="28"/>
          <w:szCs w:val="28"/>
          <w:rtl/>
        </w:rPr>
        <w:t>ها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، وهي ضرورية لحماية ضحايا النزاعات المسلحة. </w:t>
      </w:r>
      <w:r w:rsidR="00D233C8">
        <w:rPr>
          <w:rFonts w:ascii="Traditional Arabic" w:hAnsi="Traditional Arabic" w:cs="Traditional Arabic" w:hint="cs"/>
          <w:sz w:val="28"/>
          <w:szCs w:val="28"/>
          <w:rtl/>
        </w:rPr>
        <w:t xml:space="preserve">ويتمثل 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المبدأ الأساسي الذي تستند إليه اتفاقيات جنيف الأربع </w:t>
      </w:r>
      <w:r w:rsidR="00D233C8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 المعاملة الإنسانية للأشخاص. </w:t>
      </w:r>
      <w:r w:rsidR="00D233C8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>تتناول اتفاقية جن</w:t>
      </w:r>
      <w:bookmarkStart w:id="0" w:name="_GoBack"/>
      <w:bookmarkEnd w:id="0"/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 xml:space="preserve">يف الثالثة على وجه الخصوص احترام أسرى الحرب </w:t>
      </w:r>
      <w:r w:rsidR="00D233C8">
        <w:rPr>
          <w:rFonts w:ascii="Traditional Arabic" w:hAnsi="Traditional Arabic" w:cs="Traditional Arabic"/>
          <w:sz w:val="28"/>
          <w:szCs w:val="28"/>
          <w:rtl/>
        </w:rPr>
        <w:t>وحماي</w:t>
      </w:r>
      <w:r w:rsidR="00D233C8">
        <w:rPr>
          <w:rFonts w:ascii="Traditional Arabic" w:hAnsi="Traditional Arabic" w:cs="Traditional Arabic" w:hint="cs"/>
          <w:sz w:val="28"/>
          <w:szCs w:val="28"/>
          <w:rtl/>
        </w:rPr>
        <w:t>تهم</w:t>
      </w:r>
      <w:r w:rsidR="00D233C8" w:rsidRPr="00D233C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D233C8" w:rsidRDefault="00D233C8" w:rsidP="00BB3571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باعتبار اللجنة الدولية راعية ل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>لقانون الدولي الإنساني،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فإنها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تحظي ب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تاريخ طويل في تفسير القانون الدولي الإنساني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في حالات انطباقه 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على أولئك الذين لا يشاركون أو </w:t>
      </w:r>
      <w:r>
        <w:rPr>
          <w:rFonts w:ascii="Traditional Arabic" w:hAnsi="Traditional Arabic" w:cs="Traditional Arabic" w:hint="cs"/>
          <w:sz w:val="28"/>
          <w:szCs w:val="28"/>
          <w:rtl/>
        </w:rPr>
        <w:t>كفوا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عن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المشاركة 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في الأعمال العدائية. ومع ذلك،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>لطالما كانت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اتفاقيات جنيف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 xml:space="preserve"> موضع اختبار منذ اعتمادها</w:t>
      </w:r>
      <w:r w:rsidR="001C6EA6">
        <w:rPr>
          <w:rFonts w:ascii="Traditional Arabic" w:hAnsi="Traditional Arabic" w:cs="Traditional Arabic"/>
          <w:sz w:val="28"/>
          <w:szCs w:val="28"/>
          <w:rtl/>
        </w:rPr>
        <w:t xml:space="preserve"> في عام 1949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 xml:space="preserve">ويشكل 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>تطبيقه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 xml:space="preserve">ا 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تحديًا في ساحة المعركة. وقد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>ارتأت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اللجنة الدولية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 xml:space="preserve">مثل هذه التحديات 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وسرعان ما نشرت المجموعة الأولى من التعليقات </w:t>
      </w:r>
      <w:r w:rsidR="00476137">
        <w:rPr>
          <w:rFonts w:ascii="Traditional Arabic" w:hAnsi="Traditional Arabic" w:cs="Traditional Arabic" w:hint="cs"/>
          <w:sz w:val="28"/>
          <w:szCs w:val="28"/>
          <w:rtl/>
        </w:rPr>
        <w:t xml:space="preserve">الصادرة في خمسينيات </w:t>
      </w:r>
      <w:r w:rsidR="00476137" w:rsidRPr="00D233C8">
        <w:rPr>
          <w:rFonts w:ascii="Traditional Arabic" w:hAnsi="Traditional Arabic" w:cs="Traditional Arabic"/>
          <w:sz w:val="28"/>
          <w:szCs w:val="28"/>
          <w:rtl/>
        </w:rPr>
        <w:t xml:space="preserve">القرن الماضي 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التي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>تتناول كل مادة من اتفاقيات جنيف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>، وذلك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 xml:space="preserve"> لتكون بمثابة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إرشادات عملية بشأن تنفيذ الاتفاقيات. وقد أثبتت </w:t>
      </w:r>
      <w:r w:rsidR="001C6EA6">
        <w:rPr>
          <w:rFonts w:ascii="Traditional Arabic" w:hAnsi="Traditional Arabic" w:cs="Traditional Arabic" w:hint="cs"/>
          <w:sz w:val="28"/>
          <w:szCs w:val="28"/>
          <w:rtl/>
        </w:rPr>
        <w:t>فعاليتها وتلقت قبولًا على أرض الواقع</w:t>
      </w:r>
      <w:r w:rsidRPr="00D233C8">
        <w:rPr>
          <w:rFonts w:ascii="Traditional Arabic" w:hAnsi="Traditional Arabic" w:cs="Traditional Arabic"/>
          <w:sz w:val="28"/>
          <w:szCs w:val="28"/>
          <w:rtl/>
        </w:rPr>
        <w:t xml:space="preserve"> من قبل الممارسين من الكيانات الحكومية وغير الحكومية.</w:t>
      </w:r>
    </w:p>
    <w:p w:rsidR="001C6EA6" w:rsidRPr="00D233C8" w:rsidRDefault="001C6EA6" w:rsidP="00BB3571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ومع ذلك،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منذ </w:t>
      </w:r>
      <w:r>
        <w:rPr>
          <w:rFonts w:ascii="Traditional Arabic" w:hAnsi="Traditional Arabic" w:cs="Traditional Arabic" w:hint="cs"/>
          <w:sz w:val="28"/>
          <w:szCs w:val="28"/>
          <w:rtl/>
        </w:rPr>
        <w:t>إصدار ال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تعليقات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في خمسينيات القرن الماضي، حدثت 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تطورات مهمة في كيفية تطبيق </w:t>
      </w:r>
      <w:r>
        <w:rPr>
          <w:rFonts w:ascii="Traditional Arabic" w:hAnsi="Traditional Arabic" w:cs="Traditional Arabic" w:hint="cs"/>
          <w:sz w:val="28"/>
          <w:szCs w:val="28"/>
          <w:rtl/>
        </w:rPr>
        <w:t>اتفاقيات جنيف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وتفسيرها </w:t>
      </w:r>
      <w:r>
        <w:rPr>
          <w:rFonts w:ascii="Traditional Arabic" w:hAnsi="Traditional Arabic" w:cs="Traditional Arabic" w:hint="cs"/>
          <w:sz w:val="28"/>
          <w:szCs w:val="28"/>
          <w:rtl/>
        </w:rPr>
        <w:t>عمليًا</w:t>
      </w:r>
      <w:r>
        <w:rPr>
          <w:rFonts w:ascii="Traditional Arabic" w:hAnsi="Traditional Arabic" w:cs="Traditional Arabic"/>
          <w:sz w:val="28"/>
          <w:szCs w:val="28"/>
          <w:rtl/>
        </w:rPr>
        <w:t>. وهكذا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>بدأت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اللجنة الدولية في عام 2011 مشروع</w:t>
      </w:r>
      <w:r>
        <w:rPr>
          <w:rFonts w:ascii="Traditional Arabic" w:hAnsi="Traditional Arabic" w:cs="Traditional Arabic" w:hint="cs"/>
          <w:sz w:val="28"/>
          <w:szCs w:val="28"/>
          <w:rtl/>
        </w:rPr>
        <w:t>ًا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جديد</w:t>
      </w:r>
      <w:r>
        <w:rPr>
          <w:rFonts w:ascii="Traditional Arabic" w:hAnsi="Traditional Arabic" w:cs="Traditional Arabic" w:hint="cs"/>
          <w:sz w:val="28"/>
          <w:szCs w:val="28"/>
          <w:rtl/>
        </w:rPr>
        <w:t>ًا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لتحديث التعليقات على </w:t>
      </w:r>
      <w:r>
        <w:rPr>
          <w:rFonts w:ascii="Traditional Arabic" w:hAnsi="Traditional Arabic" w:cs="Traditional Arabic" w:hint="cs"/>
          <w:sz w:val="28"/>
          <w:szCs w:val="28"/>
          <w:rtl/>
        </w:rPr>
        <w:t>اتفاقيات جنيف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لعام 1949 وبروتوكولاتها الإضافية لعام 1977.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تواصلت اللجنة الدولية مع مختلف الخبراء الدوليين والمراجعين النظراء من كل سياق، بما في ذلك المنطقة العربية لمراجعة </w:t>
      </w:r>
      <w:r w:rsidR="00D83DC5" w:rsidRPr="001C6EA6">
        <w:rPr>
          <w:rFonts w:ascii="Traditional Arabic" w:hAnsi="Traditional Arabic" w:cs="Traditional Arabic"/>
          <w:sz w:val="28"/>
          <w:szCs w:val="28"/>
          <w:rtl/>
        </w:rPr>
        <w:t xml:space="preserve">التحديثات 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والتحقق من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 xml:space="preserve"> صحتها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في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 عامي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2016 و 2017 ،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أصدرت اللجنة الدولية ا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لتعليق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>ات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المحدث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على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اتفاقياتي جنيف الأولى والثانية على التوالي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، ل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عكس هذه التطورات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من الناحية القانونية والعملية. وشرعت اللجنة الدولية في العام الحالي في إصدار </w:t>
      </w:r>
      <w:r w:rsidR="00D83DC5">
        <w:rPr>
          <w:rFonts w:ascii="Traditional Arabic" w:hAnsi="Traditional Arabic" w:cs="Traditional Arabic"/>
          <w:sz w:val="28"/>
          <w:szCs w:val="28"/>
          <w:rtl/>
        </w:rPr>
        <w:t xml:space="preserve">التعليق الجديد المحدث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لاتفاقية جنيف الثالثة بشأن معاملة 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أسرى الحرب</w:t>
      </w:r>
      <w:r w:rsidR="001C357A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 وذلك 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>في 16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 حزيران/</w:t>
      </w:r>
      <w:r w:rsidRPr="001C6EA6">
        <w:rPr>
          <w:rFonts w:ascii="Traditional Arabic" w:hAnsi="Traditional Arabic" w:cs="Traditional Arabic"/>
          <w:sz w:val="28"/>
          <w:szCs w:val="28"/>
          <w:rtl/>
        </w:rPr>
        <w:t xml:space="preserve"> يونيو 2020.</w:t>
      </w:r>
    </w:p>
    <w:p w:rsidR="00D83DC5" w:rsidRPr="00AF3441" w:rsidRDefault="00251AA1" w:rsidP="00BB3571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ومع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الأسف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>، فإن مفهوم "التعليقات" غير مألوف في المنطقة العربية</w:t>
      </w:r>
      <w:r w:rsidR="005E7C96"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، مما دفع </w:t>
      </w:r>
      <w:r w:rsidRPr="00AF3441">
        <w:rPr>
          <w:rFonts w:ascii="Traditional Arabic" w:hAnsi="Traditional Arabic" w:cs="Traditional Arabic" w:hint="cs"/>
          <w:sz w:val="28"/>
          <w:szCs w:val="28"/>
          <w:rtl/>
        </w:rPr>
        <w:t xml:space="preserve">اللجنة الدولية إلى الشروع في </w:t>
      </w:r>
      <w:r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ترجمة </w:t>
      </w:r>
      <w:r w:rsidR="00056704"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التعليق على </w:t>
      </w:r>
      <w:r w:rsidRPr="00056704">
        <w:rPr>
          <w:rFonts w:ascii="Traditional Arabic" w:hAnsi="Traditional Arabic" w:cs="Traditional Arabic" w:hint="cs"/>
          <w:sz w:val="28"/>
          <w:szCs w:val="28"/>
          <w:rtl/>
        </w:rPr>
        <w:t xml:space="preserve">اتفاقية جنيف الأولى، </w:t>
      </w:r>
      <w:r w:rsidR="005E7C96" w:rsidRPr="005A0AE1">
        <w:rPr>
          <w:rFonts w:ascii="Traditional Arabic" w:hAnsi="Traditional Arabic" w:cs="Traditional Arabic" w:hint="cs"/>
          <w:sz w:val="28"/>
          <w:szCs w:val="28"/>
          <w:rtl/>
        </w:rPr>
        <w:t>على أن تتبعها ترجمات بقية التعليقات.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 وبذلك يمكن للجنة الدولية نشر التعليقات بشكل أفضل من خلال مختلف الأنشطة والفعاليات. </w:t>
      </w:r>
      <w:r w:rsidR="00D83DC5" w:rsidRPr="00D83DC5">
        <w:rPr>
          <w:rFonts w:ascii="Traditional Arabic" w:hAnsi="Traditional Arabic" w:cs="Traditional Arabic"/>
          <w:sz w:val="28"/>
          <w:szCs w:val="28"/>
          <w:rtl/>
        </w:rPr>
        <w:t xml:space="preserve">علاوة على ذلك ، وبمناسبة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إصدار</w:t>
      </w:r>
      <w:r w:rsidR="00D83DC5" w:rsidRPr="00D83DC5">
        <w:rPr>
          <w:rFonts w:ascii="Traditional Arabic" w:hAnsi="Traditional Arabic" w:cs="Traditional Arabic"/>
          <w:sz w:val="28"/>
          <w:szCs w:val="28"/>
          <w:rtl/>
        </w:rPr>
        <w:t xml:space="preserve"> التعليق المحدث على اتفاقية جنيف الثالثة، قررت اللجنة الدولية الاستعانة بمختلف الخبراء العرب الذين ساهموا في عملية التحديث من خلال تنظيم حلقة نقاش 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لتعزيز </w:t>
      </w:r>
      <w:r w:rsidR="00D83DC5" w:rsidRPr="00D83DC5">
        <w:rPr>
          <w:rFonts w:ascii="Traditional Arabic" w:hAnsi="Traditional Arabic" w:cs="Traditional Arabic"/>
          <w:sz w:val="28"/>
          <w:szCs w:val="28"/>
          <w:rtl/>
        </w:rPr>
        <w:t>مفهوم التعليقات و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>الترويج لل</w:t>
      </w:r>
      <w:r w:rsidR="00D83DC5" w:rsidRPr="00D83DC5">
        <w:rPr>
          <w:rFonts w:ascii="Traditional Arabic" w:hAnsi="Traditional Arabic" w:cs="Traditional Arabic"/>
          <w:sz w:val="28"/>
          <w:szCs w:val="28"/>
          <w:rtl/>
        </w:rPr>
        <w:t>تعليقات</w:t>
      </w:r>
      <w:r w:rsidR="00D83DC5">
        <w:rPr>
          <w:rFonts w:ascii="Traditional Arabic" w:hAnsi="Traditional Arabic" w:cs="Traditional Arabic" w:hint="cs"/>
          <w:sz w:val="28"/>
          <w:szCs w:val="28"/>
          <w:rtl/>
        </w:rPr>
        <w:t xml:space="preserve"> نفسها </w:t>
      </w:r>
      <w:r w:rsidR="00D83DC5" w:rsidRPr="00D83DC5">
        <w:rPr>
          <w:rFonts w:ascii="Traditional Arabic" w:hAnsi="Traditional Arabic" w:cs="Traditional Arabic"/>
          <w:sz w:val="28"/>
          <w:szCs w:val="28"/>
          <w:rtl/>
        </w:rPr>
        <w:t>في المنطقة العربية.</w:t>
      </w:r>
    </w:p>
    <w:p w:rsidR="00C80FC3" w:rsidRPr="00AF3441" w:rsidRDefault="00D83DC5" w:rsidP="00BB3571">
      <w:pPr>
        <w:bidi/>
        <w:spacing w:line="276" w:lineRule="auto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ونحن </w:t>
      </w:r>
      <w:r w:rsidRPr="00D83DC5">
        <w:rPr>
          <w:rFonts w:ascii="Traditional Arabic" w:hAnsi="Traditional Arabic" w:cs="Traditional Arabic"/>
          <w:sz w:val="28"/>
          <w:szCs w:val="28"/>
          <w:rtl/>
        </w:rPr>
        <w:t xml:space="preserve">نتطلع إلى الاستماع إلى خبرائنا العرب حول مساهمتهم في عملية تحديث </w:t>
      </w:r>
      <w:r w:rsidR="00CE60A5">
        <w:rPr>
          <w:rFonts w:ascii="Traditional Arabic" w:hAnsi="Traditional Arabic" w:cs="Traditional Arabic" w:hint="cs"/>
          <w:sz w:val="28"/>
          <w:szCs w:val="28"/>
          <w:rtl/>
        </w:rPr>
        <w:t>اتفاقيات جنيف</w:t>
      </w:r>
      <w:r w:rsidRPr="00D83DC5">
        <w:rPr>
          <w:rFonts w:ascii="Traditional Arabic" w:hAnsi="Traditional Arabic" w:cs="Traditional Arabic"/>
          <w:sz w:val="28"/>
          <w:szCs w:val="28"/>
          <w:rtl/>
        </w:rPr>
        <w:t xml:space="preserve"> وكذلك رؤاهم حول دور الاتفاقيات في توفير الحماية </w:t>
      </w:r>
      <w:r w:rsidR="00CE60A5">
        <w:rPr>
          <w:rFonts w:ascii="Traditional Arabic" w:hAnsi="Traditional Arabic" w:cs="Traditional Arabic" w:hint="cs"/>
          <w:sz w:val="28"/>
          <w:szCs w:val="28"/>
          <w:rtl/>
        </w:rPr>
        <w:t>والمعاملة</w:t>
      </w:r>
      <w:r w:rsidRPr="00D83DC5">
        <w:rPr>
          <w:rFonts w:ascii="Traditional Arabic" w:hAnsi="Traditional Arabic" w:cs="Traditional Arabic"/>
          <w:sz w:val="28"/>
          <w:szCs w:val="28"/>
          <w:rtl/>
        </w:rPr>
        <w:t xml:space="preserve"> الإنسانية اللازمة للمرضى والجرحى والغرقى الذين لا يشاركون في الأعمال العدائية وكذلك أسرى الحرب.</w:t>
      </w:r>
    </w:p>
    <w:sectPr w:rsidR="00C80FC3" w:rsidRPr="00AF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5D22"/>
    <w:multiLevelType w:val="hybridMultilevel"/>
    <w:tmpl w:val="94367CCA"/>
    <w:lvl w:ilvl="0" w:tplc="6A9A21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48F6"/>
    <w:multiLevelType w:val="hybridMultilevel"/>
    <w:tmpl w:val="A0F678C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7AA8"/>
    <w:multiLevelType w:val="hybridMultilevel"/>
    <w:tmpl w:val="89D2E04E"/>
    <w:lvl w:ilvl="0" w:tplc="6A9A21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F24"/>
    <w:multiLevelType w:val="hybridMultilevel"/>
    <w:tmpl w:val="CFA4554C"/>
    <w:lvl w:ilvl="0" w:tplc="A274C8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A"/>
    <w:rsid w:val="00046F6A"/>
    <w:rsid w:val="00056704"/>
    <w:rsid w:val="000A13AC"/>
    <w:rsid w:val="001C357A"/>
    <w:rsid w:val="001C6EA6"/>
    <w:rsid w:val="00251AA1"/>
    <w:rsid w:val="003601E2"/>
    <w:rsid w:val="0045316A"/>
    <w:rsid w:val="00453F67"/>
    <w:rsid w:val="00476137"/>
    <w:rsid w:val="00493376"/>
    <w:rsid w:val="005313CF"/>
    <w:rsid w:val="005A0AE1"/>
    <w:rsid w:val="005E7C96"/>
    <w:rsid w:val="0079177A"/>
    <w:rsid w:val="0079714F"/>
    <w:rsid w:val="007E28E2"/>
    <w:rsid w:val="008A1D74"/>
    <w:rsid w:val="00A1074C"/>
    <w:rsid w:val="00AF3441"/>
    <w:rsid w:val="00B36F6B"/>
    <w:rsid w:val="00B62F34"/>
    <w:rsid w:val="00BA682C"/>
    <w:rsid w:val="00BB3571"/>
    <w:rsid w:val="00C80FC3"/>
    <w:rsid w:val="00CE60A5"/>
    <w:rsid w:val="00D233C8"/>
    <w:rsid w:val="00D83DC5"/>
    <w:rsid w:val="00DE6EFA"/>
    <w:rsid w:val="00E6479F"/>
    <w:rsid w:val="00F4184C"/>
    <w:rsid w:val="00F43F7A"/>
    <w:rsid w:val="00F65C78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716A"/>
  <w15:chartTrackingRefBased/>
  <w15:docId w15:val="{47467E98-2160-4DCD-81D0-CDE48BB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55A72B039144AAAE6CFB78585A3A" ma:contentTypeVersion="5" ma:contentTypeDescription="Create a new document." ma:contentTypeScope="" ma:versionID="2fe51ee0f597e4f8ac3c03a8785d1f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dc30b232-d515-41c4-a275-59a2205d0d10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ADFE2B-4A02-401A-BD10-4B1B08ED2EA0}"/>
</file>

<file path=customXml/itemProps2.xml><?xml version="1.0" encoding="utf-8"?>
<ds:datastoreItem xmlns:ds="http://schemas.openxmlformats.org/officeDocument/2006/customXml" ds:itemID="{08896BC1-A5A9-454A-AD5B-8489BE2D5AF8}"/>
</file>

<file path=customXml/itemProps3.xml><?xml version="1.0" encoding="utf-8"?>
<ds:datastoreItem xmlns:ds="http://schemas.openxmlformats.org/officeDocument/2006/customXml" ds:itemID="{E767F4D3-947B-444F-818A-6ED86A09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Talal</dc:creator>
  <cp:keywords/>
  <dc:description/>
  <cp:lastModifiedBy>Shireen fatehy el mahmoudy</cp:lastModifiedBy>
  <cp:revision>4</cp:revision>
  <dcterms:created xsi:type="dcterms:W3CDTF">2020-07-08T07:11:00Z</dcterms:created>
  <dcterms:modified xsi:type="dcterms:W3CDTF">2020-07-22T13:22:00Z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0x010100BBBB55A72B039144AAAE6CFB78585A3A</vt:lpwstr>
  </property>
</Properties>
</file>