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68" w:rsidRDefault="00463A68">
      <w:pPr>
        <w:widowControl w:val="0"/>
        <w:pBdr>
          <w:top w:val="nil"/>
          <w:left w:val="nil"/>
          <w:bottom w:val="nil"/>
          <w:right w:val="nil"/>
          <w:between w:val="nil"/>
        </w:pBdr>
        <w:spacing w:after="0" w:line="276" w:lineRule="auto"/>
      </w:pPr>
    </w:p>
    <w:p w:rsidR="00463A68" w:rsidRDefault="00463A68">
      <w:pPr>
        <w:widowControl w:val="0"/>
        <w:pBdr>
          <w:top w:val="nil"/>
          <w:left w:val="nil"/>
          <w:bottom w:val="nil"/>
          <w:right w:val="nil"/>
          <w:between w:val="nil"/>
        </w:pBdr>
        <w:spacing w:after="0" w:line="276" w:lineRule="auto"/>
      </w:pPr>
    </w:p>
    <w:p w:rsidR="00463A68" w:rsidRDefault="007C0F79">
      <w:pPr>
        <w:bidi/>
        <w:spacing w:after="0"/>
        <w:rPr>
          <w:rFonts w:ascii="Traditional Arabic" w:eastAsia="Traditional Arabic" w:hAnsi="Traditional Arabic" w:cs="Traditional Arabic"/>
          <w:sz w:val="28"/>
          <w:szCs w:val="28"/>
        </w:rPr>
      </w:pPr>
      <w:r>
        <w:rPr>
          <w:rFonts w:ascii="Traditional Arabic" w:eastAsia="Traditional Arabic" w:hAnsi="Traditional Arabic" w:cs="Traditional Arabic"/>
          <w:noProof/>
          <w:sz w:val="28"/>
          <w:szCs w:val="28"/>
        </w:rPr>
        <w:drawing>
          <wp:inline distT="0" distB="0" distL="0" distR="0">
            <wp:extent cx="2466975" cy="838200"/>
            <wp:effectExtent l="0" t="0" r="0" b="0"/>
            <wp:docPr id="17" name="image2.png" descr="https://www.itu.int/en/ITU-R/Logos/WRC-2019%20logo_258x88.png"/>
            <wp:cNvGraphicFramePr/>
            <a:graphic xmlns:a="http://schemas.openxmlformats.org/drawingml/2006/main">
              <a:graphicData uri="http://schemas.openxmlformats.org/drawingml/2006/picture">
                <pic:pic xmlns:pic="http://schemas.openxmlformats.org/drawingml/2006/picture">
                  <pic:nvPicPr>
                    <pic:cNvPr id="0" name="image2.png" descr="https://www.itu.int/en/ITU-R/Logos/WRC-2019%20logo_258x88.png"/>
                    <pic:cNvPicPr preferRelativeResize="0"/>
                  </pic:nvPicPr>
                  <pic:blipFill>
                    <a:blip r:embed="rId8"/>
                    <a:srcRect/>
                    <a:stretch>
                      <a:fillRect/>
                    </a:stretch>
                  </pic:blipFill>
                  <pic:spPr>
                    <a:xfrm>
                      <a:off x="0" y="0"/>
                      <a:ext cx="2466975" cy="838200"/>
                    </a:xfrm>
                    <a:prstGeom prst="rect">
                      <a:avLst/>
                    </a:prstGeom>
                    <a:ln/>
                  </pic:spPr>
                </pic:pic>
              </a:graphicData>
            </a:graphic>
          </wp:inline>
        </w:drawing>
      </w:r>
    </w:p>
    <w:p w:rsidR="00463A68" w:rsidRDefault="00463A68">
      <w:pPr>
        <w:bidi/>
        <w:spacing w:after="0"/>
        <w:jc w:val="center"/>
        <w:rPr>
          <w:rFonts w:ascii="Traditional Arabic" w:eastAsia="Traditional Arabic" w:hAnsi="Traditional Arabic" w:cs="Traditional Arabic"/>
          <w:sz w:val="28"/>
          <w:szCs w:val="28"/>
        </w:rPr>
      </w:pPr>
    </w:p>
    <w:p w:rsidR="00463A68" w:rsidRDefault="007C0F79">
      <w:pPr>
        <w:bidi/>
        <w:spacing w:after="0"/>
        <w:jc w:val="center"/>
        <w:rPr>
          <w:rFonts w:ascii="Traditional Arabic" w:eastAsia="Traditional Arabic" w:hAnsi="Traditional Arabic" w:cs="Traditional Arabic"/>
          <w:b/>
          <w:sz w:val="28"/>
          <w:szCs w:val="28"/>
          <w:u w:val="single"/>
        </w:rPr>
      </w:pPr>
      <w:r>
        <w:rPr>
          <w:rFonts w:ascii="Traditional Arabic" w:eastAsia="Traditional Arabic" w:hAnsi="Traditional Arabic" w:cs="Traditional Arabic"/>
          <w:b/>
          <w:sz w:val="28"/>
          <w:szCs w:val="28"/>
          <w:u w:val="single"/>
          <w:rtl/>
        </w:rPr>
        <w:t xml:space="preserve">نتائج ومخرجات المؤتمر العالمي للاتصالات الراديوية  </w:t>
      </w:r>
      <w:r>
        <w:rPr>
          <w:rFonts w:ascii="Traditional Arabic" w:eastAsia="Traditional Arabic" w:hAnsi="Traditional Arabic" w:cs="Traditional Arabic"/>
          <w:b/>
          <w:sz w:val="28"/>
          <w:szCs w:val="28"/>
          <w:u w:val="single"/>
        </w:rPr>
        <w:t>WRC</w:t>
      </w:r>
      <w:r>
        <w:rPr>
          <w:rFonts w:ascii="Traditional Arabic" w:eastAsia="Traditional Arabic" w:hAnsi="Traditional Arabic" w:cs="Traditional Arabic"/>
          <w:b/>
          <w:sz w:val="28"/>
          <w:szCs w:val="28"/>
          <w:u w:val="single"/>
          <w:rtl/>
        </w:rPr>
        <w:t>-19</w:t>
      </w:r>
    </w:p>
    <w:p w:rsidR="00463A68" w:rsidRDefault="00463A68">
      <w:pPr>
        <w:bidi/>
        <w:spacing w:after="0"/>
        <w:rPr>
          <w:rFonts w:ascii="Traditional Arabic" w:eastAsia="Traditional Arabic" w:hAnsi="Traditional Arabic" w:cs="Traditional Arabic"/>
          <w:b/>
          <w:sz w:val="28"/>
          <w:szCs w:val="28"/>
          <w:u w:val="single"/>
        </w:rPr>
      </w:pPr>
    </w:p>
    <w:p w:rsidR="00463A68" w:rsidRDefault="007C0F79">
      <w:pPr>
        <w:numPr>
          <w:ilvl w:val="0"/>
          <w:numId w:val="4"/>
        </w:numPr>
        <w:pBdr>
          <w:top w:val="nil"/>
          <w:left w:val="nil"/>
          <w:bottom w:val="nil"/>
          <w:right w:val="nil"/>
          <w:between w:val="nil"/>
        </w:pBdr>
        <w:bidi/>
        <w:spacing w:after="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استضافت مصر المؤتمر العالمي للاتصالات الراديوية كجزء من ثلاثة أحداث كبيرة ومتتالية ومترابطة تحت رعاية السيد رئيس الجمهورية في مدينة شرم الشيخ تخص الاتحاد الدولي للاتصالات:</w:t>
      </w:r>
    </w:p>
    <w:p w:rsidR="00463A68" w:rsidRDefault="007C0F79">
      <w:pPr>
        <w:numPr>
          <w:ilvl w:val="1"/>
          <w:numId w:val="1"/>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الجمعية العالمية للاتصالات الراديوية من 21 – 25 أكتوبر 2019</w:t>
      </w:r>
    </w:p>
    <w:p w:rsidR="00463A68" w:rsidRDefault="007C0F79">
      <w:pPr>
        <w:numPr>
          <w:ilvl w:val="1"/>
          <w:numId w:val="1"/>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المؤتمر العالمي للاتصالات الراديوية من 28 أكتوبر – 22 نوفمبر 2019</w:t>
      </w:r>
    </w:p>
    <w:p w:rsidR="00463A68" w:rsidRDefault="007C0F79">
      <w:pPr>
        <w:numPr>
          <w:ilvl w:val="1"/>
          <w:numId w:val="1"/>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الاجتماع التحضيري الأول للمؤتمر العالمي للاتصالات الراديوية المقبل من 25 – 26 نوفمبر 2019</w:t>
      </w:r>
    </w:p>
    <w:p w:rsidR="00463A68" w:rsidRDefault="007C0F79">
      <w:pPr>
        <w:numPr>
          <w:ilvl w:val="0"/>
          <w:numId w:val="4"/>
        </w:numPr>
        <w:pBdr>
          <w:top w:val="nil"/>
          <w:left w:val="nil"/>
          <w:bottom w:val="nil"/>
          <w:right w:val="nil"/>
          <w:between w:val="nil"/>
        </w:pBdr>
        <w:bidi/>
        <w:spacing w:after="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المؤتمر العالمي للاتصالات الراديوية </w:t>
      </w:r>
      <w:r>
        <w:rPr>
          <w:rFonts w:ascii="Traditional Arabic" w:eastAsia="Traditional Arabic" w:hAnsi="Traditional Arabic" w:cs="Traditional Arabic"/>
          <w:color w:val="000000"/>
          <w:sz w:val="28"/>
          <w:szCs w:val="28"/>
        </w:rPr>
        <w:t>WRC</w:t>
      </w:r>
      <w:r>
        <w:rPr>
          <w:rFonts w:ascii="Traditional Arabic" w:eastAsia="Traditional Arabic" w:hAnsi="Traditional Arabic" w:cs="Traditional Arabic"/>
          <w:color w:val="000000"/>
          <w:sz w:val="28"/>
          <w:szCs w:val="28"/>
          <w:rtl/>
        </w:rPr>
        <w:t xml:space="preserve"> هو مؤتمر دولي تابع للاتحاد الدولي للاتصالات وهو أحد منظمات الأمم المتحدة.</w:t>
      </w:r>
    </w:p>
    <w:p w:rsidR="00463A68" w:rsidRDefault="007C0F79">
      <w:pPr>
        <w:numPr>
          <w:ilvl w:val="0"/>
          <w:numId w:val="4"/>
        </w:numPr>
        <w:pBdr>
          <w:top w:val="nil"/>
          <w:left w:val="nil"/>
          <w:bottom w:val="nil"/>
          <w:right w:val="nil"/>
          <w:between w:val="nil"/>
        </w:pBdr>
        <w:bidi/>
        <w:spacing w:after="0"/>
        <w:rPr>
          <w:rFonts w:ascii="Traditional Arabic" w:eastAsia="Traditional Arabic" w:hAnsi="Traditional Arabic" w:cs="Traditional Arabic"/>
          <w:color w:val="000000"/>
          <w:sz w:val="28"/>
          <w:szCs w:val="28"/>
        </w:rPr>
      </w:pPr>
      <w:bookmarkStart w:id="0" w:name="_gjdgxs" w:colFirst="0" w:colLast="0"/>
      <w:bookmarkEnd w:id="0"/>
      <w:r>
        <w:rPr>
          <w:rFonts w:ascii="Traditional Arabic" w:eastAsia="Traditional Arabic" w:hAnsi="Traditional Arabic" w:cs="Traditional Arabic"/>
          <w:color w:val="000000"/>
          <w:sz w:val="28"/>
          <w:szCs w:val="28"/>
          <w:rtl/>
        </w:rPr>
        <w:t>قامت الحكومات في هذا المؤتمر في استعراض ومراجعة لوائح الراديو، وهي المعاهدة الدولية التي تحكم استخدام طيف الترددات الراديوية ومدارات الأقمار الصناعية المستقرة والأقمار الصناعية غير المستقرة بالنسبة إلى الأرض.</w:t>
      </w:r>
    </w:p>
    <w:p w:rsidR="00463A68" w:rsidRDefault="007C0F79">
      <w:pPr>
        <w:numPr>
          <w:ilvl w:val="0"/>
          <w:numId w:val="4"/>
        </w:numPr>
        <w:pBdr>
          <w:top w:val="nil"/>
          <w:left w:val="nil"/>
          <w:bottom w:val="nil"/>
          <w:right w:val="nil"/>
          <w:between w:val="nil"/>
        </w:pBdr>
        <w:bidi/>
        <w:spacing w:after="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وقد تم الإعلان عن المخرج النهائي للمؤتمر وهو اتفاقية دولية مرتبطة باسم الدولة المضيفة للمؤتمر، حيث يطلق على الاتفاقية (شرم الشيخ، 2019). </w:t>
      </w:r>
    </w:p>
    <w:p w:rsidR="00463A68" w:rsidRDefault="007C0F79">
      <w:pPr>
        <w:numPr>
          <w:ilvl w:val="0"/>
          <w:numId w:val="4"/>
        </w:numPr>
        <w:pBdr>
          <w:top w:val="nil"/>
          <w:left w:val="nil"/>
          <w:bottom w:val="nil"/>
          <w:right w:val="nil"/>
          <w:between w:val="nil"/>
        </w:pBdr>
        <w:bidi/>
        <w:spacing w:after="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وقد رأست مصر المؤتمر العالمي للاتصالات الراديوية بصفتها الدولة المضيفة.</w:t>
      </w:r>
    </w:p>
    <w:p w:rsidR="00463A68" w:rsidRDefault="007C0F79">
      <w:pPr>
        <w:numPr>
          <w:ilvl w:val="0"/>
          <w:numId w:val="4"/>
        </w:numPr>
        <w:pBdr>
          <w:top w:val="nil"/>
          <w:left w:val="nil"/>
          <w:bottom w:val="nil"/>
          <w:right w:val="nil"/>
          <w:between w:val="nil"/>
        </w:pBdr>
        <w:bidi/>
        <w:spacing w:after="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وقد شارك في المؤتمر أكثر من 3500 مشارك من 140 دولة وأكثر من 50 شركة ومنظمة دولية عاملة في مجال الاتصالات.</w:t>
      </w:r>
    </w:p>
    <w:p w:rsidR="00463A68" w:rsidRDefault="007C0F79">
      <w:pPr>
        <w:bidi/>
        <w:spacing w:after="0"/>
        <w:ind w:left="360"/>
        <w:jc w:val="both"/>
        <w:rPr>
          <w:rFonts w:ascii="Traditional Arabic" w:eastAsia="Traditional Arabic" w:hAnsi="Traditional Arabic" w:cs="Traditional Arabic"/>
          <w:b/>
          <w:sz w:val="28"/>
          <w:szCs w:val="28"/>
          <w:u w:val="single"/>
        </w:rPr>
      </w:pPr>
      <w:r>
        <w:rPr>
          <w:rFonts w:ascii="Traditional Arabic" w:eastAsia="Traditional Arabic" w:hAnsi="Traditional Arabic" w:cs="Traditional Arabic"/>
          <w:b/>
          <w:sz w:val="28"/>
          <w:szCs w:val="28"/>
          <w:u w:val="single"/>
          <w:rtl/>
        </w:rPr>
        <w:t>أهم مخرجات المؤتمر:</w:t>
      </w:r>
    </w:p>
    <w:p w:rsidR="00463A68" w:rsidRDefault="007C0F79">
      <w:pPr>
        <w:bidi/>
        <w:ind w:left="360"/>
        <w:jc w:val="both"/>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أهم مخرجات المؤتمر تمثلت في:</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أثمرت المناقشات عن نتائج إيجابية لمستقبل الاتصالات المحمولة الـ</w:t>
      </w:r>
      <w:r>
        <w:rPr>
          <w:rFonts w:ascii="Traditional Arabic" w:eastAsia="Traditional Arabic" w:hAnsi="Traditional Arabic" w:cs="Traditional Arabic"/>
          <w:color w:val="000000"/>
          <w:sz w:val="28"/>
          <w:szCs w:val="28"/>
        </w:rPr>
        <w:t>IMT</w:t>
      </w:r>
      <w:r>
        <w:rPr>
          <w:rFonts w:ascii="Traditional Arabic" w:eastAsia="Traditional Arabic" w:hAnsi="Traditional Arabic" w:cs="Traditional Arabic"/>
          <w:color w:val="000000"/>
          <w:sz w:val="28"/>
          <w:szCs w:val="28"/>
          <w:rtl/>
        </w:rPr>
        <w:t>-2020، أو ما يسمى بالجيل الخامس، حيث وافق المؤتمر العالمي للاتصالات الراديوية لعام 2019 على حزمة من النطاقات الهامة والحيوية لمستقبل تكنولوجيا الجيل الخامس لشبكات المحمول، ومنها نطاق ال26 جيجا وال40 جيجا، والـ66 جيجا،  كما تم التأكيد على حماية الخدمات المجاورة ومنها خدمات التنبؤ بالطقس العالمية.</w:t>
      </w:r>
    </w:p>
    <w:p w:rsidR="00CA00EF" w:rsidRPr="00CA00EF" w:rsidRDefault="007C0F79">
      <w:pPr>
        <w:numPr>
          <w:ilvl w:val="0"/>
          <w:numId w:val="2"/>
        </w:numPr>
        <w:pBdr>
          <w:top w:val="nil"/>
          <w:left w:val="nil"/>
          <w:bottom w:val="nil"/>
          <w:right w:val="nil"/>
          <w:between w:val="nil"/>
        </w:pBdr>
        <w:bidi/>
        <w:spacing w:after="0"/>
        <w:rPr>
          <w:rFonts w:hint="cs"/>
          <w:color w:val="000000"/>
          <w:sz w:val="28"/>
          <w:szCs w:val="28"/>
        </w:rPr>
      </w:pPr>
      <w:r>
        <w:rPr>
          <w:rFonts w:ascii="Traditional Arabic" w:eastAsia="Traditional Arabic" w:hAnsi="Traditional Arabic" w:cs="Traditional Arabic"/>
          <w:color w:val="000000"/>
          <w:sz w:val="28"/>
          <w:szCs w:val="28"/>
          <w:rtl/>
        </w:rPr>
        <w:t xml:space="preserve">وفي مجال الأقمار الصناعية نجح المؤتمر في استصدار قرار لوضع الإطار التنظيمي لتشغيل المحطات الأرضية المتحركة </w:t>
      </w:r>
      <w:r>
        <w:rPr>
          <w:rFonts w:ascii="Traditional Arabic" w:eastAsia="Traditional Arabic" w:hAnsi="Traditional Arabic" w:cs="Traditional Arabic"/>
          <w:color w:val="000000"/>
          <w:sz w:val="28"/>
          <w:szCs w:val="28"/>
        </w:rPr>
        <w:t>ESIM</w:t>
      </w:r>
      <w:r>
        <w:rPr>
          <w:rFonts w:ascii="Traditional Arabic" w:eastAsia="Traditional Arabic" w:hAnsi="Traditional Arabic" w:cs="Traditional Arabic"/>
          <w:color w:val="000000"/>
          <w:sz w:val="28"/>
          <w:szCs w:val="28"/>
          <w:rtl/>
        </w:rPr>
        <w:t xml:space="preserve"> في الحيز الترددي </w:t>
      </w:r>
      <w:r>
        <w:rPr>
          <w:rFonts w:ascii="Traditional Arabic" w:eastAsia="Traditional Arabic" w:hAnsi="Traditional Arabic" w:cs="Traditional Arabic"/>
          <w:color w:val="000000"/>
          <w:sz w:val="28"/>
          <w:szCs w:val="28"/>
        </w:rPr>
        <w:t>KA-band</w:t>
      </w:r>
      <w:r>
        <w:rPr>
          <w:rFonts w:ascii="Traditional Arabic" w:eastAsia="Traditional Arabic" w:hAnsi="Traditional Arabic" w:cs="Traditional Arabic"/>
          <w:color w:val="000000"/>
          <w:sz w:val="28"/>
          <w:szCs w:val="28"/>
          <w:rtl/>
        </w:rPr>
        <w:t xml:space="preserve">، وتواجه هذه المحطات الأرضية المتحركة تحديًا معقدًا وهو كيفية تقديم </w:t>
      </w:r>
    </w:p>
    <w:p w:rsidR="00CA00EF" w:rsidRPr="00CA00EF" w:rsidRDefault="00CA00EF" w:rsidP="00CA00EF">
      <w:pPr>
        <w:numPr>
          <w:ilvl w:val="0"/>
          <w:numId w:val="2"/>
        </w:numPr>
        <w:pBdr>
          <w:top w:val="nil"/>
          <w:left w:val="nil"/>
          <w:bottom w:val="nil"/>
          <w:right w:val="nil"/>
          <w:between w:val="nil"/>
        </w:pBdr>
        <w:bidi/>
        <w:spacing w:after="0"/>
        <w:rPr>
          <w:rFonts w:hint="cs"/>
          <w:color w:val="000000"/>
          <w:sz w:val="28"/>
          <w:szCs w:val="28"/>
        </w:rPr>
      </w:pPr>
    </w:p>
    <w:p w:rsidR="00CA00EF" w:rsidRPr="00CA00EF" w:rsidRDefault="00CA00EF" w:rsidP="00CA00EF">
      <w:pPr>
        <w:pBdr>
          <w:top w:val="nil"/>
          <w:left w:val="nil"/>
          <w:bottom w:val="nil"/>
          <w:right w:val="nil"/>
          <w:between w:val="nil"/>
        </w:pBdr>
        <w:bidi/>
        <w:spacing w:after="0"/>
        <w:ind w:left="360"/>
        <w:rPr>
          <w:rFonts w:hint="cs"/>
          <w:color w:val="000000"/>
          <w:sz w:val="28"/>
          <w:szCs w:val="28"/>
        </w:rPr>
      </w:pPr>
    </w:p>
    <w:p w:rsidR="00CA00EF" w:rsidRPr="00CA00EF" w:rsidRDefault="00CA00EF" w:rsidP="00CA00EF">
      <w:pPr>
        <w:pBdr>
          <w:top w:val="nil"/>
          <w:left w:val="nil"/>
          <w:bottom w:val="nil"/>
          <w:right w:val="nil"/>
          <w:between w:val="nil"/>
        </w:pBdr>
        <w:bidi/>
        <w:spacing w:after="0"/>
        <w:ind w:left="360"/>
        <w:rPr>
          <w:rFonts w:hint="cs"/>
          <w:color w:val="000000"/>
          <w:sz w:val="28"/>
          <w:szCs w:val="28"/>
        </w:rPr>
      </w:pPr>
    </w:p>
    <w:p w:rsidR="00463A68" w:rsidRDefault="007C0F79" w:rsidP="00CA00EF">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خدمات إنترنت موثوقة وعريضة النطاق إلى أهداف تتحرك، حيث أنها توفر اتصالات النطاق العريض، بما في ذلك الاتصال بالإنترنت، على منصات متحركة.</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 xml:space="preserve">ولتلبية الحاجة المتزايدة إلى طيف الترددات الراديوية لنظام </w:t>
      </w:r>
      <w:r>
        <w:rPr>
          <w:rFonts w:ascii="Traditional Arabic" w:eastAsia="Traditional Arabic" w:hAnsi="Traditional Arabic" w:cs="Traditional Arabic"/>
          <w:color w:val="000000"/>
          <w:sz w:val="28"/>
          <w:szCs w:val="28"/>
        </w:rPr>
        <w:t>ESIM</w:t>
      </w:r>
      <w:r>
        <w:rPr>
          <w:rFonts w:ascii="Traditional Arabic" w:eastAsia="Traditional Arabic" w:hAnsi="Traditional Arabic" w:cs="Traditional Arabic"/>
          <w:color w:val="000000"/>
          <w:sz w:val="28"/>
          <w:szCs w:val="28"/>
          <w:rtl/>
        </w:rPr>
        <w:t xml:space="preserve"> ، قرر المؤتمر </w:t>
      </w:r>
      <w:r>
        <w:rPr>
          <w:rFonts w:ascii="Traditional Arabic" w:eastAsia="Traditional Arabic" w:hAnsi="Traditional Arabic" w:cs="Traditional Arabic"/>
          <w:color w:val="000000"/>
          <w:sz w:val="28"/>
          <w:szCs w:val="28"/>
        </w:rPr>
        <w:t>WRC</w:t>
      </w:r>
      <w:r>
        <w:rPr>
          <w:rFonts w:ascii="Traditional Arabic" w:eastAsia="Traditional Arabic" w:hAnsi="Traditional Arabic" w:cs="Traditional Arabic"/>
          <w:color w:val="000000"/>
          <w:sz w:val="28"/>
          <w:szCs w:val="28"/>
          <w:rtl/>
        </w:rPr>
        <w:t xml:space="preserve">-19 الشروط التنظيمية والتقنية التي بموجبها نطاقات التردد </w:t>
      </w:r>
      <w:r>
        <w:rPr>
          <w:rFonts w:ascii="Traditional Arabic" w:eastAsia="Traditional Arabic" w:hAnsi="Traditional Arabic" w:cs="Traditional Arabic"/>
          <w:color w:val="000000"/>
          <w:sz w:val="28"/>
          <w:szCs w:val="28"/>
        </w:rPr>
        <w:t>GHz</w:t>
      </w:r>
      <w:r>
        <w:rPr>
          <w:rFonts w:ascii="Traditional Arabic" w:eastAsia="Traditional Arabic" w:hAnsi="Traditional Arabic" w:cs="Traditional Arabic"/>
          <w:color w:val="000000"/>
          <w:sz w:val="28"/>
          <w:szCs w:val="28"/>
          <w:rtl/>
        </w:rPr>
        <w:t xml:space="preserve"> 19،7-17،7 (فضاء-أرض) و27،5-27،5 يمكن استخدام </w:t>
      </w:r>
      <w:r>
        <w:rPr>
          <w:rFonts w:ascii="Traditional Arabic" w:eastAsia="Traditional Arabic" w:hAnsi="Traditional Arabic" w:cs="Traditional Arabic"/>
          <w:color w:val="000000"/>
          <w:sz w:val="28"/>
          <w:szCs w:val="28"/>
        </w:rPr>
        <w:t>GHz</w:t>
      </w:r>
      <w:r>
        <w:rPr>
          <w:rFonts w:ascii="Traditional Arabic" w:eastAsia="Traditional Arabic" w:hAnsi="Traditional Arabic" w:cs="Traditional Arabic"/>
          <w:color w:val="000000"/>
          <w:sz w:val="28"/>
          <w:szCs w:val="28"/>
          <w:rtl/>
        </w:rPr>
        <w:t xml:space="preserve"> (أرض-فضاء) من خلال الأنواع الثلاثة لمحطة </w:t>
      </w:r>
      <w:r>
        <w:rPr>
          <w:rFonts w:ascii="Traditional Arabic" w:eastAsia="Traditional Arabic" w:hAnsi="Traditional Arabic" w:cs="Traditional Arabic"/>
          <w:color w:val="000000"/>
          <w:sz w:val="28"/>
          <w:szCs w:val="28"/>
        </w:rPr>
        <w:t>ESIM</w:t>
      </w:r>
      <w:r>
        <w:rPr>
          <w:rFonts w:ascii="Traditional Arabic" w:eastAsia="Traditional Arabic" w:hAnsi="Traditional Arabic" w:cs="Traditional Arabic"/>
          <w:color w:val="000000"/>
          <w:sz w:val="28"/>
          <w:szCs w:val="28"/>
          <w:rtl/>
        </w:rPr>
        <w:t xml:space="preserve"> التي تتصل بمحطات فضائية مستقرة بالنسبة إلى الأرض (</w:t>
      </w:r>
      <w:r>
        <w:rPr>
          <w:rFonts w:ascii="Traditional Arabic" w:eastAsia="Traditional Arabic" w:hAnsi="Traditional Arabic" w:cs="Traditional Arabic"/>
          <w:color w:val="000000"/>
          <w:sz w:val="28"/>
          <w:szCs w:val="28"/>
        </w:rPr>
        <w:t>GSO</w:t>
      </w:r>
      <w:r>
        <w:rPr>
          <w:rFonts w:ascii="Traditional Arabic" w:eastAsia="Traditional Arabic" w:hAnsi="Traditional Arabic" w:cs="Traditional Arabic"/>
          <w:color w:val="000000"/>
          <w:sz w:val="28"/>
          <w:szCs w:val="28"/>
          <w:rtl/>
        </w:rPr>
        <w:t xml:space="preserve">) في الخدمة الثابتة </w:t>
      </w:r>
      <w:proofErr w:type="spellStart"/>
      <w:r>
        <w:rPr>
          <w:rFonts w:ascii="Traditional Arabic" w:eastAsia="Traditional Arabic" w:hAnsi="Traditional Arabic" w:cs="Traditional Arabic"/>
          <w:color w:val="000000"/>
          <w:sz w:val="28"/>
          <w:szCs w:val="28"/>
          <w:rtl/>
        </w:rPr>
        <w:t>الساتلية</w:t>
      </w:r>
      <w:proofErr w:type="spellEnd"/>
      <w:r>
        <w:rPr>
          <w:rFonts w:ascii="Traditional Arabic" w:eastAsia="Traditional Arabic" w:hAnsi="Traditional Arabic" w:cs="Traditional Arabic"/>
          <w:color w:val="000000"/>
          <w:sz w:val="28"/>
          <w:szCs w:val="28"/>
          <w:rtl/>
        </w:rPr>
        <w:t xml:space="preserve"> (</w:t>
      </w:r>
      <w:r>
        <w:rPr>
          <w:rFonts w:ascii="Traditional Arabic" w:eastAsia="Traditional Arabic" w:hAnsi="Traditional Arabic" w:cs="Traditional Arabic"/>
          <w:color w:val="000000"/>
          <w:sz w:val="28"/>
          <w:szCs w:val="28"/>
        </w:rPr>
        <w:t>FSS).</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 xml:space="preserve">بالإضافة إلى ذلك، تم تحديد الإطار التنظيمي في الخدمة للأقمار الصناعية غير المستقرة والتي يتجه العالم في الوقت الراهن لإطلاق عدد كبير من الأقمار الصناعية لتقديم خدمات الانترنت عريض النطاق من خلالها بسرعات عالية لتغطية كافة المناطق وخاصة المناطق النائية وغير المغطاة عن طريق الخدمات الأرضية، بالإضافة إلى تخصيص </w:t>
      </w:r>
      <w:proofErr w:type="spellStart"/>
      <w:r>
        <w:rPr>
          <w:rFonts w:ascii="Traditional Arabic" w:eastAsia="Traditional Arabic" w:hAnsi="Traditional Arabic" w:cs="Traditional Arabic"/>
          <w:color w:val="000000"/>
          <w:sz w:val="28"/>
          <w:szCs w:val="28"/>
          <w:rtl/>
        </w:rPr>
        <w:t>حيزات</w:t>
      </w:r>
      <w:proofErr w:type="spellEnd"/>
      <w:r>
        <w:rPr>
          <w:rFonts w:ascii="Traditional Arabic" w:eastAsia="Traditional Arabic" w:hAnsi="Traditional Arabic" w:cs="Traditional Arabic"/>
          <w:color w:val="000000"/>
          <w:sz w:val="28"/>
          <w:szCs w:val="28"/>
          <w:rtl/>
        </w:rPr>
        <w:t xml:space="preserve"> ترددية جديدة للخدمة الثابتة للأقمار الصناعية، وتوفير مواقع مدارية جديدة لتوفير التغطية عبر الأقمار الصناعية خاصة للدول النامية.</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وفقًا للنظام التنظيمي المعتمد حديثًا، سيتعين على هذه الأنظمة نشر 10٪ من تشكيلاتها في غضون عامين بعد نهاية الفترة التنظيمية الحالية للوضع في الخدمة، و 50٪ في غضون 5 سنوات وإكمال النشر في غضون 7 سنوات.</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 xml:space="preserve">سيوفر هذا النهج القائم آلية تنظيمية للمساعدة في ضمان أن السجل الرئيسي للترددات الدولية يعكس بشكل معقول النشر الفعلي لأنظمة الأقمار الصناعية </w:t>
      </w:r>
      <w:r>
        <w:rPr>
          <w:rFonts w:ascii="Traditional Arabic" w:eastAsia="Traditional Arabic" w:hAnsi="Traditional Arabic" w:cs="Traditional Arabic"/>
          <w:color w:val="000000"/>
          <w:sz w:val="28"/>
          <w:szCs w:val="28"/>
        </w:rPr>
        <w:t>NGSO</w:t>
      </w:r>
      <w:r>
        <w:rPr>
          <w:rFonts w:ascii="Traditional Arabic" w:eastAsia="Traditional Arabic" w:hAnsi="Traditional Arabic" w:cs="Traditional Arabic"/>
          <w:color w:val="000000"/>
          <w:sz w:val="28"/>
          <w:szCs w:val="28"/>
          <w:rtl/>
        </w:rPr>
        <w:t xml:space="preserve"> هذه في نطاقات وخدمات تردد راديوي معينة.</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قام المؤتمر أيضاً باستصدار قرارات دولية تساعد على تمهيد الطريق لتحسين النقل في المدن الذكية.  وتهدف تلك القرارات الدولية إلى تحسين إدارة وحركة المرور وأنظمة النقل العام والسلامة على الطرق وسلامة القطارات ومراقبة حركة السكك الحديدية - من بين جوانب أخرى من وسائل النقل التي تهدف إلى الاستفادة من تكنولوجيا المعلومات والاتصالات (</w:t>
      </w:r>
      <w:r>
        <w:rPr>
          <w:rFonts w:ascii="Traditional Arabic" w:eastAsia="Traditional Arabic" w:hAnsi="Traditional Arabic" w:cs="Traditional Arabic"/>
          <w:color w:val="000000"/>
          <w:sz w:val="28"/>
          <w:szCs w:val="28"/>
        </w:rPr>
        <w:t>ICT</w:t>
      </w:r>
      <w:r>
        <w:rPr>
          <w:rFonts w:ascii="Traditional Arabic" w:eastAsia="Traditional Arabic" w:hAnsi="Traditional Arabic" w:cs="Traditional Arabic"/>
          <w:color w:val="000000"/>
          <w:sz w:val="28"/>
          <w:szCs w:val="28"/>
          <w:rtl/>
        </w:rPr>
        <w:t>) لجعل العالم المدن أكثر أمانا و "أكثر ذكاء".</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وافق المؤتمر على توصية جديدة بشأن أنظمة النقل الذكية (</w:t>
      </w:r>
      <w:r>
        <w:rPr>
          <w:rFonts w:ascii="Traditional Arabic" w:eastAsia="Traditional Arabic" w:hAnsi="Traditional Arabic" w:cs="Traditional Arabic"/>
          <w:color w:val="000000"/>
          <w:sz w:val="28"/>
          <w:szCs w:val="28"/>
        </w:rPr>
        <w:t>ITS</w:t>
      </w:r>
      <w:r>
        <w:rPr>
          <w:rFonts w:ascii="Traditional Arabic" w:eastAsia="Traditional Arabic" w:hAnsi="Traditional Arabic" w:cs="Traditional Arabic"/>
          <w:color w:val="000000"/>
          <w:sz w:val="28"/>
          <w:szCs w:val="28"/>
          <w:rtl/>
        </w:rPr>
        <w:t>) وتم اصدار قرار جديد بشأن أنظمة الاتصالات الراديوية بالسكك الحديدية بين القطار وجانب المسار (</w:t>
      </w:r>
      <w:r>
        <w:rPr>
          <w:rFonts w:ascii="Traditional Arabic" w:eastAsia="Traditional Arabic" w:hAnsi="Traditional Arabic" w:cs="Traditional Arabic"/>
          <w:color w:val="000000"/>
          <w:sz w:val="28"/>
          <w:szCs w:val="28"/>
        </w:rPr>
        <w:t>RSTT).</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 xml:space="preserve">وقد تم أيضاً تحديث منظومة السلامة والاستغاثة البحرية </w:t>
      </w:r>
      <w:r>
        <w:rPr>
          <w:rFonts w:ascii="Traditional Arabic" w:eastAsia="Traditional Arabic" w:hAnsi="Traditional Arabic" w:cs="Traditional Arabic"/>
          <w:color w:val="000000"/>
          <w:sz w:val="28"/>
          <w:szCs w:val="28"/>
        </w:rPr>
        <w:t>GMDSS.</w:t>
      </w:r>
    </w:p>
    <w:p w:rsidR="00463A68" w:rsidRDefault="007C0F79">
      <w:pPr>
        <w:numPr>
          <w:ilvl w:val="0"/>
          <w:numId w:val="2"/>
        </w:numPr>
        <w:pBdr>
          <w:top w:val="nil"/>
          <w:left w:val="nil"/>
          <w:bottom w:val="nil"/>
          <w:right w:val="nil"/>
          <w:between w:val="nil"/>
        </w:pBdr>
        <w:bidi/>
        <w:spacing w:after="0"/>
        <w:rPr>
          <w:color w:val="000000"/>
          <w:sz w:val="28"/>
          <w:szCs w:val="28"/>
        </w:rPr>
      </w:pPr>
      <w:r>
        <w:rPr>
          <w:rFonts w:ascii="Traditional Arabic" w:eastAsia="Traditional Arabic" w:hAnsi="Traditional Arabic" w:cs="Traditional Arabic"/>
          <w:color w:val="000000"/>
          <w:sz w:val="28"/>
          <w:szCs w:val="28"/>
          <w:rtl/>
        </w:rPr>
        <w:t xml:space="preserve">كذلك قام المؤتمر بالنظر في الاحتياجات من الطيف الخاصة بتكنولوجيا محطات المنصات عالية الارتفاع ( </w:t>
      </w:r>
      <w:r>
        <w:rPr>
          <w:rFonts w:ascii="Traditional Arabic" w:eastAsia="Traditional Arabic" w:hAnsi="Traditional Arabic" w:cs="Traditional Arabic"/>
          <w:color w:val="000000"/>
          <w:sz w:val="28"/>
          <w:szCs w:val="28"/>
        </w:rPr>
        <w:t>HAPS</w:t>
      </w:r>
      <w:r>
        <w:rPr>
          <w:rFonts w:ascii="Traditional Arabic" w:eastAsia="Traditional Arabic" w:hAnsi="Traditional Arabic" w:cs="Traditional Arabic"/>
          <w:color w:val="000000"/>
          <w:sz w:val="28"/>
          <w:szCs w:val="28"/>
          <w:rtl/>
        </w:rPr>
        <w:t xml:space="preserve"> ) حيث نجحنا في تنقيح الإطار التنظيمي لأنظمة الأقمار الصناعية غير المستقرة بالنسبة إلى الأرض، ومن مزايا تكنولوجيا </w:t>
      </w:r>
      <w:r>
        <w:rPr>
          <w:rFonts w:ascii="Traditional Arabic" w:eastAsia="Traditional Arabic" w:hAnsi="Traditional Arabic" w:cs="Traditional Arabic"/>
          <w:color w:val="000000"/>
          <w:sz w:val="28"/>
          <w:szCs w:val="28"/>
        </w:rPr>
        <w:t>HAPS</w:t>
      </w:r>
      <w:r>
        <w:rPr>
          <w:rFonts w:ascii="Traditional Arabic" w:eastAsia="Traditional Arabic" w:hAnsi="Traditional Arabic" w:cs="Traditional Arabic"/>
          <w:color w:val="000000"/>
          <w:sz w:val="28"/>
          <w:szCs w:val="28"/>
          <w:rtl/>
        </w:rPr>
        <w:t xml:space="preserve"> أنها تعمل في </w:t>
      </w:r>
      <w:proofErr w:type="spellStart"/>
      <w:r>
        <w:rPr>
          <w:rFonts w:ascii="Traditional Arabic" w:eastAsia="Traditional Arabic" w:hAnsi="Traditional Arabic" w:cs="Traditional Arabic"/>
          <w:color w:val="000000"/>
          <w:sz w:val="28"/>
          <w:szCs w:val="28"/>
          <w:rtl/>
        </w:rPr>
        <w:t>الستراتوسفير</w:t>
      </w:r>
      <w:proofErr w:type="spellEnd"/>
      <w:r>
        <w:rPr>
          <w:rFonts w:ascii="Traditional Arabic" w:eastAsia="Traditional Arabic" w:hAnsi="Traditional Arabic" w:cs="Traditional Arabic"/>
          <w:color w:val="000000"/>
          <w:sz w:val="28"/>
          <w:szCs w:val="28"/>
          <w:rtl/>
        </w:rPr>
        <w:t>، ويمكن استخدامها لتوفير اتصال واسع النطاق ثابت للمستخدم النهائي والوصلة الخلفية لشبكات المحمول، وبالتالي زيادة تغطية هذه الشبكات.</w:t>
      </w:r>
    </w:p>
    <w:p w:rsidR="00463A68" w:rsidRPr="00CA00EF" w:rsidRDefault="007C0F79" w:rsidP="00CA00EF">
      <w:pPr>
        <w:numPr>
          <w:ilvl w:val="0"/>
          <w:numId w:val="2"/>
        </w:numPr>
        <w:pBdr>
          <w:top w:val="nil"/>
          <w:left w:val="nil"/>
          <w:bottom w:val="nil"/>
          <w:right w:val="nil"/>
          <w:between w:val="nil"/>
        </w:pBdr>
        <w:bidi/>
        <w:spacing w:after="0"/>
        <w:ind w:hanging="720"/>
        <w:jc w:val="both"/>
        <w:rPr>
          <w:rFonts w:ascii="Traditional Arabic" w:eastAsia="Traditional Arabic" w:hAnsi="Traditional Arabic" w:cs="Traditional Arabic"/>
          <w:color w:val="000000"/>
          <w:sz w:val="28"/>
          <w:szCs w:val="28"/>
        </w:rPr>
      </w:pPr>
      <w:r w:rsidRPr="00CA00EF">
        <w:rPr>
          <w:rFonts w:ascii="Traditional Arabic" w:eastAsia="Traditional Arabic" w:hAnsi="Traditional Arabic" w:cs="Traditional Arabic"/>
          <w:color w:val="000000"/>
          <w:sz w:val="28"/>
          <w:szCs w:val="28"/>
          <w:rtl/>
        </w:rPr>
        <w:t xml:space="preserve">تم أيضاً إطلاق إعلان حول </w:t>
      </w:r>
      <w:proofErr w:type="spellStart"/>
      <w:r w:rsidRPr="00CA00EF">
        <w:rPr>
          <w:rFonts w:ascii="Traditional Arabic" w:eastAsia="Traditional Arabic" w:hAnsi="Traditional Arabic" w:cs="Traditional Arabic"/>
          <w:color w:val="000000"/>
          <w:sz w:val="28"/>
          <w:szCs w:val="28"/>
          <w:rtl/>
        </w:rPr>
        <w:t>المساواه</w:t>
      </w:r>
      <w:proofErr w:type="spellEnd"/>
      <w:r w:rsidRPr="00CA00EF">
        <w:rPr>
          <w:rFonts w:ascii="Traditional Arabic" w:eastAsia="Traditional Arabic" w:hAnsi="Traditional Arabic" w:cs="Traditional Arabic"/>
          <w:color w:val="000000"/>
          <w:sz w:val="28"/>
          <w:szCs w:val="28"/>
          <w:rtl/>
        </w:rPr>
        <w:t xml:space="preserve"> بين الجنسين في قطاع الراديو بالاتحاد الدولي للاتصالات مما يعتبر خطوة في غاية الأهمية بالنسبة للاتحاد حيث أن قطاع الراديو هو القطاع الوحيد بالاتحاد الذي لا يوجد به قرار حول المساواة بين الجنسين، وهو أمر هام بالنسبة لقطاع الراديو والذي يحكمه رجال بشكل أكبر بكثير من النساء.</w:t>
      </w:r>
      <w:bookmarkStart w:id="1" w:name="_GoBack"/>
      <w:bookmarkEnd w:id="1"/>
    </w:p>
    <w:sectPr w:rsidR="00463A68" w:rsidRPr="00CA00EF">
      <w:headerReference w:type="even" r:id="rId9"/>
      <w:headerReference w:type="default" r:id="rId10"/>
      <w:head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79" w:rsidRDefault="007C0F79">
      <w:pPr>
        <w:spacing w:after="0" w:line="240" w:lineRule="auto"/>
      </w:pPr>
      <w:r>
        <w:separator/>
      </w:r>
    </w:p>
  </w:endnote>
  <w:endnote w:type="continuationSeparator" w:id="0">
    <w:p w:rsidR="007C0F79" w:rsidRDefault="007C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79" w:rsidRDefault="007C0F79">
      <w:pPr>
        <w:spacing w:after="0" w:line="240" w:lineRule="auto"/>
      </w:pPr>
      <w:r>
        <w:separator/>
      </w:r>
    </w:p>
  </w:footnote>
  <w:footnote w:type="continuationSeparator" w:id="0">
    <w:p w:rsidR="007C0F79" w:rsidRDefault="007C0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68" w:rsidRDefault="007C0F7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7728" behindDoc="1" locked="0" layoutInCell="0" hidden="0" allowOverlap="1">
          <wp:simplePos x="0" y="0"/>
          <wp:positionH relativeFrom="column">
            <wp:posOffset>317</wp:posOffset>
          </wp:positionH>
          <wp:positionV relativeFrom="paragraph">
            <wp:posOffset>0</wp:posOffset>
          </wp:positionV>
          <wp:extent cx="5730875" cy="1946910"/>
          <wp:effectExtent l="0" t="0" r="0" b="0"/>
          <wp:wrapNone/>
          <wp:docPr id="16" name="image2.png" descr="WRC-2019 logo_258x88"/>
          <wp:cNvGraphicFramePr/>
          <a:graphic xmlns:a="http://schemas.openxmlformats.org/drawingml/2006/main">
            <a:graphicData uri="http://schemas.openxmlformats.org/drawingml/2006/picture">
              <pic:pic xmlns:pic="http://schemas.openxmlformats.org/drawingml/2006/picture">
                <pic:nvPicPr>
                  <pic:cNvPr id="0" name="image2.png" descr="WRC-2019 logo_258x88"/>
                  <pic:cNvPicPr preferRelativeResize="0"/>
                </pic:nvPicPr>
                <pic:blipFill>
                  <a:blip r:embed="rId1"/>
                  <a:srcRect/>
                  <a:stretch>
                    <a:fillRect/>
                  </a:stretch>
                </pic:blipFill>
                <pic:spPr>
                  <a:xfrm>
                    <a:off x="0" y="0"/>
                    <a:ext cx="5730875" cy="194691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68" w:rsidRDefault="007C0F7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6704" behindDoc="1" locked="0" layoutInCell="0" hidden="0" allowOverlap="1">
          <wp:simplePos x="0" y="0"/>
          <wp:positionH relativeFrom="column">
            <wp:posOffset>317</wp:posOffset>
          </wp:positionH>
          <wp:positionV relativeFrom="paragraph">
            <wp:posOffset>0</wp:posOffset>
          </wp:positionV>
          <wp:extent cx="5730875" cy="1946910"/>
          <wp:effectExtent l="0" t="0" r="0" b="0"/>
          <wp:wrapNone/>
          <wp:docPr id="15" name="image2.png" descr="WRC-2019 logo_258x88"/>
          <wp:cNvGraphicFramePr/>
          <a:graphic xmlns:a="http://schemas.openxmlformats.org/drawingml/2006/main">
            <a:graphicData uri="http://schemas.openxmlformats.org/drawingml/2006/picture">
              <pic:pic xmlns:pic="http://schemas.openxmlformats.org/drawingml/2006/picture">
                <pic:nvPicPr>
                  <pic:cNvPr id="0" name="image2.png" descr="WRC-2019 logo_258x88"/>
                  <pic:cNvPicPr preferRelativeResize="0"/>
                </pic:nvPicPr>
                <pic:blipFill>
                  <a:blip r:embed="rId1"/>
                  <a:srcRect/>
                  <a:stretch>
                    <a:fillRect/>
                  </a:stretch>
                </pic:blipFill>
                <pic:spPr>
                  <a:xfrm>
                    <a:off x="0" y="0"/>
                    <a:ext cx="5730875" cy="1946910"/>
                  </a:xfrm>
                  <a:prstGeom prst="rect">
                    <a:avLst/>
                  </a:prstGeom>
                  <a:ln/>
                </pic:spPr>
              </pic:pic>
            </a:graphicData>
          </a:graphic>
        </wp:anchor>
      </w:drawing>
    </w:r>
  </w:p>
  <w:p w:rsidR="00463A68" w:rsidRDefault="00463A6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68" w:rsidRDefault="00CA00EF">
    <w:pPr>
      <w:pBdr>
        <w:top w:val="nil"/>
        <w:left w:val="nil"/>
        <w:bottom w:val="nil"/>
        <w:right w:val="nil"/>
        <w:between w:val="nil"/>
      </w:pBdr>
      <w:tabs>
        <w:tab w:val="center" w:pos="4680"/>
        <w:tab w:val="right" w:pos="9360"/>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95pt;margin-top:-1pt;width:451.25pt;height:153.3pt;z-index:-251657728;mso-position-horizontal:absolute;mso-position-horizontal-relative:margin;mso-position-vertical:absolute;mso-position-vertical-relative:text" o:allowincell="f">
          <v:imagedata r:id="rId1" o:title="WRC-2019 logo_258x88" gain="19661f" blacklevel="22938f"/>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93CD1"/>
    <w:multiLevelType w:val="multilevel"/>
    <w:tmpl w:val="DE145FF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C100C1"/>
    <w:multiLevelType w:val="multilevel"/>
    <w:tmpl w:val="471A2624"/>
    <w:lvl w:ilvl="0">
      <w:start w:val="1"/>
      <w:numFmt w:val="bullet"/>
      <w:lvlText w:val="-"/>
      <w:lvlJc w:val="left"/>
      <w:pPr>
        <w:ind w:left="1080" w:hanging="360"/>
      </w:pPr>
      <w:rPr>
        <w:rFonts w:ascii="Traditional Arabic" w:eastAsia="Traditional Arabic" w:hAnsi="Traditional Arabic" w:cs="Traditional Arabic"/>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42F200AA"/>
    <w:multiLevelType w:val="multilevel"/>
    <w:tmpl w:val="6B50748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451AAC"/>
    <w:multiLevelType w:val="multilevel"/>
    <w:tmpl w:val="CE66B62C"/>
    <w:lvl w:ilvl="0">
      <w:start w:val="1"/>
      <w:numFmt w:val="bullet"/>
      <w:lvlText w:val="-"/>
      <w:lvlJc w:val="left"/>
      <w:pPr>
        <w:ind w:left="720" w:hanging="360"/>
      </w:pPr>
      <w:rPr>
        <w:rFonts w:ascii="Traditional Arabic" w:eastAsia="Traditional Arabic" w:hAnsi="Traditional Arabic" w:cs="Traditional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68"/>
    <w:rsid w:val="00463A68"/>
    <w:rsid w:val="007C0F79"/>
    <w:rsid w:val="00CA00EF"/>
    <w:rsid w:val="00D27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04171"/>
    <w:pPr>
      <w:ind w:left="720"/>
      <w:contextualSpacing/>
    </w:pPr>
  </w:style>
  <w:style w:type="paragraph" w:styleId="BalloonText">
    <w:name w:val="Balloon Text"/>
    <w:basedOn w:val="Normal"/>
    <w:link w:val="BalloonTextChar"/>
    <w:uiPriority w:val="99"/>
    <w:semiHidden/>
    <w:unhideWhenUsed/>
    <w:rsid w:val="000A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0B8"/>
    <w:rPr>
      <w:rFonts w:ascii="Tahoma" w:hAnsi="Tahoma" w:cs="Tahoma"/>
      <w:sz w:val="16"/>
      <w:szCs w:val="16"/>
    </w:rPr>
  </w:style>
  <w:style w:type="paragraph" w:styleId="Header">
    <w:name w:val="header"/>
    <w:basedOn w:val="Normal"/>
    <w:link w:val="HeaderChar"/>
    <w:uiPriority w:val="99"/>
    <w:unhideWhenUsed/>
    <w:rsid w:val="00D73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E99"/>
  </w:style>
  <w:style w:type="paragraph" w:styleId="Footer">
    <w:name w:val="footer"/>
    <w:basedOn w:val="Normal"/>
    <w:link w:val="FooterChar"/>
    <w:uiPriority w:val="99"/>
    <w:unhideWhenUsed/>
    <w:rsid w:val="00D73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99"/>
  </w:style>
  <w:style w:type="paragraph" w:customStyle="1" w:styleId="01718119">
    <w:name w:val="نمط رأس رسالة + قبل:  0.17 سم معلقة:  1.81 سم بعد:  1.9 سم"/>
    <w:basedOn w:val="MessageHeader"/>
    <w:rsid w:val="009D1AC0"/>
    <w:pPr>
      <w:keepLines/>
      <w:pBdr>
        <w:top w:val="none" w:sz="0" w:space="0" w:color="auto"/>
        <w:left w:val="none" w:sz="0" w:space="0" w:color="auto"/>
        <w:bottom w:val="none" w:sz="0" w:space="0" w:color="auto"/>
        <w:right w:val="none" w:sz="0" w:space="0" w:color="auto"/>
      </w:pBdr>
      <w:shd w:val="clear" w:color="auto" w:fill="auto"/>
      <w:bidi/>
      <w:spacing w:after="120" w:line="240" w:lineRule="atLeast"/>
      <w:ind w:left="1122" w:right="1077" w:hanging="1026"/>
    </w:pPr>
    <w:rPr>
      <w:rFonts w:ascii="Garamond" w:eastAsia="Times New Roman" w:hAnsi="Garamond" w:cs="Times New Roman"/>
      <w:caps/>
      <w:sz w:val="18"/>
      <w:szCs w:val="20"/>
    </w:rPr>
  </w:style>
  <w:style w:type="paragraph" w:customStyle="1" w:styleId="017181190">
    <w:name w:val="01718119"/>
    <w:basedOn w:val="Normal"/>
    <w:rsid w:val="009D1AC0"/>
    <w:pPr>
      <w:bidi/>
      <w:spacing w:after="120" w:line="240" w:lineRule="atLeast"/>
      <w:ind w:left="1122" w:right="1077" w:hanging="1026"/>
    </w:pPr>
    <w:rPr>
      <w:rFonts w:ascii="Garamond" w:eastAsia="Times New Roman" w:hAnsi="Garamond" w:cs="Times New Roman"/>
      <w:caps/>
      <w:sz w:val="18"/>
      <w:szCs w:val="18"/>
    </w:rPr>
  </w:style>
  <w:style w:type="paragraph" w:customStyle="1" w:styleId="Char">
    <w:name w:val="Char"/>
    <w:basedOn w:val="Normal"/>
    <w:rsid w:val="009D1AC0"/>
    <w:pPr>
      <w:spacing w:line="240" w:lineRule="exact"/>
    </w:pPr>
    <w:rPr>
      <w:rFonts w:ascii="Verdana" w:eastAsia="Times New Roman" w:hAnsi="Verdana" w:cs="Times New Roman"/>
      <w:sz w:val="20"/>
      <w:szCs w:val="20"/>
    </w:rPr>
  </w:style>
  <w:style w:type="paragraph" w:styleId="MessageHeader">
    <w:name w:val="Message Header"/>
    <w:basedOn w:val="Normal"/>
    <w:link w:val="MessageHeaderChar"/>
    <w:uiPriority w:val="99"/>
    <w:semiHidden/>
    <w:unhideWhenUsed/>
    <w:rsid w:val="009D1AC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1AC0"/>
    <w:rPr>
      <w:rFonts w:asciiTheme="majorHAnsi" w:eastAsiaTheme="majorEastAsia" w:hAnsiTheme="majorHAnsi" w:cstheme="majorBidi"/>
      <w:sz w:val="24"/>
      <w:szCs w:val="24"/>
      <w:shd w:val="pct20" w:color="auto" w:fill="auto"/>
    </w:rPr>
  </w:style>
  <w:style w:type="table" w:styleId="TableGrid">
    <w:name w:val="Table Grid"/>
    <w:basedOn w:val="TableNormal"/>
    <w:uiPriority w:val="59"/>
    <w:rsid w:val="00F56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04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402F"/>
    <w:rPr>
      <w:rFonts w:ascii="Courier New" w:eastAsia="Times New Roman" w:hAnsi="Courier New" w:cs="Courier New"/>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04171"/>
    <w:pPr>
      <w:ind w:left="720"/>
      <w:contextualSpacing/>
    </w:pPr>
  </w:style>
  <w:style w:type="paragraph" w:styleId="BalloonText">
    <w:name w:val="Balloon Text"/>
    <w:basedOn w:val="Normal"/>
    <w:link w:val="BalloonTextChar"/>
    <w:uiPriority w:val="99"/>
    <w:semiHidden/>
    <w:unhideWhenUsed/>
    <w:rsid w:val="000A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0B8"/>
    <w:rPr>
      <w:rFonts w:ascii="Tahoma" w:hAnsi="Tahoma" w:cs="Tahoma"/>
      <w:sz w:val="16"/>
      <w:szCs w:val="16"/>
    </w:rPr>
  </w:style>
  <w:style w:type="paragraph" w:styleId="Header">
    <w:name w:val="header"/>
    <w:basedOn w:val="Normal"/>
    <w:link w:val="HeaderChar"/>
    <w:uiPriority w:val="99"/>
    <w:unhideWhenUsed/>
    <w:rsid w:val="00D73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E99"/>
  </w:style>
  <w:style w:type="paragraph" w:styleId="Footer">
    <w:name w:val="footer"/>
    <w:basedOn w:val="Normal"/>
    <w:link w:val="FooterChar"/>
    <w:uiPriority w:val="99"/>
    <w:unhideWhenUsed/>
    <w:rsid w:val="00D73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99"/>
  </w:style>
  <w:style w:type="paragraph" w:customStyle="1" w:styleId="01718119">
    <w:name w:val="نمط رأس رسالة + قبل:  0.17 سم معلقة:  1.81 سم بعد:  1.9 سم"/>
    <w:basedOn w:val="MessageHeader"/>
    <w:rsid w:val="009D1AC0"/>
    <w:pPr>
      <w:keepLines/>
      <w:pBdr>
        <w:top w:val="none" w:sz="0" w:space="0" w:color="auto"/>
        <w:left w:val="none" w:sz="0" w:space="0" w:color="auto"/>
        <w:bottom w:val="none" w:sz="0" w:space="0" w:color="auto"/>
        <w:right w:val="none" w:sz="0" w:space="0" w:color="auto"/>
      </w:pBdr>
      <w:shd w:val="clear" w:color="auto" w:fill="auto"/>
      <w:bidi/>
      <w:spacing w:after="120" w:line="240" w:lineRule="atLeast"/>
      <w:ind w:left="1122" w:right="1077" w:hanging="1026"/>
    </w:pPr>
    <w:rPr>
      <w:rFonts w:ascii="Garamond" w:eastAsia="Times New Roman" w:hAnsi="Garamond" w:cs="Times New Roman"/>
      <w:caps/>
      <w:sz w:val="18"/>
      <w:szCs w:val="20"/>
    </w:rPr>
  </w:style>
  <w:style w:type="paragraph" w:customStyle="1" w:styleId="017181190">
    <w:name w:val="01718119"/>
    <w:basedOn w:val="Normal"/>
    <w:rsid w:val="009D1AC0"/>
    <w:pPr>
      <w:bidi/>
      <w:spacing w:after="120" w:line="240" w:lineRule="atLeast"/>
      <w:ind w:left="1122" w:right="1077" w:hanging="1026"/>
    </w:pPr>
    <w:rPr>
      <w:rFonts w:ascii="Garamond" w:eastAsia="Times New Roman" w:hAnsi="Garamond" w:cs="Times New Roman"/>
      <w:caps/>
      <w:sz w:val="18"/>
      <w:szCs w:val="18"/>
    </w:rPr>
  </w:style>
  <w:style w:type="paragraph" w:customStyle="1" w:styleId="Char">
    <w:name w:val="Char"/>
    <w:basedOn w:val="Normal"/>
    <w:rsid w:val="009D1AC0"/>
    <w:pPr>
      <w:spacing w:line="240" w:lineRule="exact"/>
    </w:pPr>
    <w:rPr>
      <w:rFonts w:ascii="Verdana" w:eastAsia="Times New Roman" w:hAnsi="Verdana" w:cs="Times New Roman"/>
      <w:sz w:val="20"/>
      <w:szCs w:val="20"/>
    </w:rPr>
  </w:style>
  <w:style w:type="paragraph" w:styleId="MessageHeader">
    <w:name w:val="Message Header"/>
    <w:basedOn w:val="Normal"/>
    <w:link w:val="MessageHeaderChar"/>
    <w:uiPriority w:val="99"/>
    <w:semiHidden/>
    <w:unhideWhenUsed/>
    <w:rsid w:val="009D1AC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1AC0"/>
    <w:rPr>
      <w:rFonts w:asciiTheme="majorHAnsi" w:eastAsiaTheme="majorEastAsia" w:hAnsiTheme="majorHAnsi" w:cstheme="majorBidi"/>
      <w:sz w:val="24"/>
      <w:szCs w:val="24"/>
      <w:shd w:val="pct20" w:color="auto" w:fill="auto"/>
    </w:rPr>
  </w:style>
  <w:style w:type="table" w:styleId="TableGrid">
    <w:name w:val="Table Grid"/>
    <w:basedOn w:val="TableNormal"/>
    <w:uiPriority w:val="59"/>
    <w:rsid w:val="00F56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04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402F"/>
    <w:rPr>
      <w:rFonts w:ascii="Courier New" w:eastAsia="Times New Roman" w:hAnsi="Courier New" w:cs="Courier New"/>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f52ac4fa-3599-48f6-b976-9ade4ae3d65f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6D3B23-4BB7-4397-920C-69D8CA40FD78}"/>
</file>

<file path=customXml/itemProps2.xml><?xml version="1.0" encoding="utf-8"?>
<ds:datastoreItem xmlns:ds="http://schemas.openxmlformats.org/officeDocument/2006/customXml" ds:itemID="{64BFAD02-B3F5-4979-9CC5-D81CDC918AFF}"/>
</file>

<file path=customXml/itemProps3.xml><?xml version="1.0" encoding="utf-8"?>
<ds:datastoreItem xmlns:ds="http://schemas.openxmlformats.org/officeDocument/2006/customXml" ds:itemID="{80454FD6-69D3-4A3F-8C9A-0D73E88D7DEB}"/>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Shahira Selim</dc:creator>
  <cp:lastModifiedBy>reham ahmed ahmed el-mayet</cp:lastModifiedBy>
  <cp:revision>2</cp:revision>
  <dcterms:created xsi:type="dcterms:W3CDTF">2019-11-28T10:11:00Z</dcterms:created>
  <dcterms:modified xsi:type="dcterms:W3CDTF">2019-11-28T10:11:00Z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